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bookmarkStart w:colFirst="0" w:colLast="0" w:name="_heading=h.26in1rg" w:id="1"/>
      <w:bookmarkEnd w:id="1"/>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widowControl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green"/>
          <w:rtl w:val="0"/>
        </w:rPr>
        <w:t xml:space="preserve">Buyer guidance:</w:t>
      </w:r>
      <w:r w:rsidDel="00000000" w:rsidR="00000000" w:rsidRPr="00000000">
        <w:rPr>
          <w:rFonts w:ascii="Arial" w:cs="Arial" w:eastAsia="Arial" w:hAnsi="Arial"/>
          <w:b w:val="1"/>
          <w:sz w:val="24"/>
          <w:szCs w:val="24"/>
          <w:rtl w:val="0"/>
        </w:rPr>
        <w:t xml:space="preserve"> Paragraph 3.1.6 is intended to allow for clarification of submitted tenders within the scope of Regulation 56(4) which does not extend to material changes to already submitted tenders or negotiation.  Buyers need not seek clarifications but where they do it is suggested that clear records are kept and where it would not breach confidentiality obligations to do so interactions with one Supplier should be notified to all potential Suppliers in line with transparency principles.  Buyers might also wish to consider re-running a Further Competition Procedure where it becomes apparent from submitted tenders and clarification questions that the Statement of Requirements has not resulted in Deliverables that are acceptable to the Buyer]</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5">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6">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7">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8">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9">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B">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C">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D">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F">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0">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1">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2">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catalogue and description of the Deliverables as set out in Framework Schedule 1 (Specification) for all Suppliers capable of meeting the Statement of Requirements in order to establish which Supplier provides the most economically advantageous solution; and</w:t>
      </w:r>
    </w:p>
    <w:p w:rsidR="00000000" w:rsidDel="00000000" w:rsidP="00000000" w:rsidRDefault="00000000" w:rsidRPr="00000000" w14:paraId="00000013">
      <w:pPr>
        <w:widowControl w:val="1"/>
        <w:numPr>
          <w:ilvl w:val="2"/>
          <w:numId w:val="4"/>
        </w:numPr>
        <w:tabs>
          <w:tab w:val="left" w:pos="3641"/>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where the Statement of Requirements requires the Supplier to hold classified information, the Buyer may state a required Standard and apply the Direct Award Criteria only to the Catalogue of the Suppliers capable of meeting the required Standard and the Statement of Requirements;</w:t>
      </w:r>
      <w:r w:rsidDel="00000000" w:rsidR="00000000" w:rsidRPr="00000000">
        <w:rPr>
          <w:rtl w:val="0"/>
        </w:rPr>
      </w:r>
    </w:p>
    <w:p w:rsidR="00000000" w:rsidDel="00000000" w:rsidP="00000000" w:rsidRDefault="00000000" w:rsidRPr="00000000" w14:paraId="00000014">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7">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8">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9">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them;</w:t>
      </w:r>
    </w:p>
    <w:p w:rsidR="00000000" w:rsidDel="00000000" w:rsidP="00000000" w:rsidRDefault="00000000" w:rsidRPr="00000000" w14:paraId="0000001A">
      <w:pPr>
        <w:widowControl w:val="1"/>
        <w:numPr>
          <w:ilvl w:val="2"/>
          <w:numId w:val="4"/>
        </w:numPr>
        <w:tabs>
          <w:tab w:val="left" w:pos="3641"/>
        </w:tabs>
        <w:spacing w:after="240" w:lineRule="auto"/>
        <w:ind w:left="2610" w:hanging="720"/>
        <w:rPr>
          <w:rFonts w:ascii="Arial" w:cs="Arial" w:eastAsia="Arial" w:hAnsi="Arial"/>
          <w:color w:val="000000"/>
        </w:rPr>
      </w:pPr>
      <w:bookmarkStart w:colFirst="0" w:colLast="0" w:name="_heading=h.2et92p0" w:id="5"/>
      <w:bookmarkEnd w:id="5"/>
      <w:r w:rsidDel="00000000" w:rsidR="00000000" w:rsidRPr="00000000">
        <w:rPr>
          <w:rFonts w:ascii="Arial" w:cs="Arial" w:eastAsia="Arial" w:hAnsi="Arial"/>
          <w:sz w:val="24"/>
          <w:szCs w:val="24"/>
          <w:rtl w:val="0"/>
        </w:rPr>
        <w:t xml:space="preserve">where the Statement of Requirements requires the Supplier to hold classified information, the Buyer may state a required Standard and identify the Suppliers capable of meeting the required Standard;</w:t>
      </w:r>
      <w:r w:rsidDel="00000000" w:rsidR="00000000" w:rsidRPr="00000000">
        <w:rPr>
          <w:rtl w:val="0"/>
        </w:rPr>
      </w:r>
    </w:p>
    <w:p w:rsidR="00000000" w:rsidDel="00000000" w:rsidP="00000000" w:rsidRDefault="00000000" w:rsidRPr="00000000" w14:paraId="0000001B">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xxyc0us5ztn" w:id="6"/>
      <w:bookmarkEnd w:id="6"/>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 </w:t>
      </w:r>
    </w:p>
    <w:p w:rsidR="00000000" w:rsidDel="00000000" w:rsidP="00000000" w:rsidRDefault="00000000" w:rsidRPr="00000000" w14:paraId="0000001C">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7"/>
      <w:bookmarkEnd w:id="7"/>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D">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E">
      <w:pPr>
        <w:keepNext w:val="1"/>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F">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0">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1">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tabs>
          <w:tab w:val="left" w:pos="6238"/>
        </w:tabs>
        <w:spacing w:after="120" w:before="120" w:lineRule="auto"/>
        <w:ind w:left="1440" w:firstLine="0"/>
        <w:rPr>
          <w:rFonts w:ascii="Arial" w:cs="Arial" w:eastAsia="Arial" w:hAnsi="Arial"/>
          <w:sz w:val="24"/>
          <w:szCs w:val="24"/>
          <w:shd w:fill="b6d7a8" w:val="clear"/>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shd w:fill="b6d7a8" w:val="clear"/>
          <w:rtl w:val="0"/>
        </w:rPr>
        <w:t xml:space="preserve">   </w:t>
      </w:r>
    </w:p>
    <w:p w:rsidR="00000000" w:rsidDel="00000000" w:rsidP="00000000" w:rsidRDefault="00000000" w:rsidRPr="00000000" w14:paraId="00000023">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 </w:t>
      </w:r>
    </w:p>
    <w:p w:rsidR="00000000" w:rsidDel="00000000" w:rsidP="00000000" w:rsidRDefault="00000000" w:rsidRPr="00000000" w14:paraId="00000024">
      <w:pPr>
        <w:keepNext w:val="1"/>
        <w:widowControl w:val="1"/>
        <w:numPr>
          <w:ilvl w:val="2"/>
          <w:numId w:val="4"/>
        </w:numPr>
        <w:tabs>
          <w:tab w:val="left" w:pos="3641"/>
        </w:tabs>
        <w:spacing w:after="240" w:lineRule="auto"/>
        <w:ind w:left="2610" w:hanging="720"/>
        <w:rPr>
          <w:rFonts w:ascii="Arial" w:cs="Arial" w:eastAsia="Arial" w:hAnsi="Arial"/>
          <w:color w:val="000000"/>
        </w:rPr>
      </w:pPr>
      <w:r w:rsidDel="00000000" w:rsidR="00000000" w:rsidRPr="00000000">
        <w:rPr>
          <w:rFonts w:ascii="Arial" w:cs="Arial" w:eastAsia="Arial" w:hAnsi="Arial"/>
          <w:sz w:val="24"/>
          <w:szCs w:val="24"/>
          <w:rtl w:val="0"/>
        </w:rPr>
        <w:t xml:space="preserve">where the Buyer deems it appropriate to do so and in accordance with Regulation 56, request further clarification of a Call-Off Tender after its submission in order to resolve any minor errors or ambiguities or seek missing information from the Supplier;</w:t>
      </w:r>
      <w:r w:rsidDel="00000000" w:rsidR="00000000" w:rsidRPr="00000000">
        <w:rPr>
          <w:rtl w:val="0"/>
        </w:rPr>
      </w:r>
    </w:p>
    <w:p w:rsidR="00000000" w:rsidDel="00000000" w:rsidP="00000000" w:rsidRDefault="00000000" w:rsidRPr="00000000" w14:paraId="00000025">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6">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7">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8">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9">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above) applicable to the Deliverables,</w:t>
      </w:r>
    </w:p>
    <w:p w:rsidR="00000000" w:rsidDel="00000000" w:rsidP="00000000" w:rsidRDefault="00000000" w:rsidRPr="00000000" w14:paraId="0000002A">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B">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C">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F">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30">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31">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2">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3">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requested by the Buyer, </w:t>
      </w: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4">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5">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6">
      <w:pPr>
        <w:keepNext w:val="1"/>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7">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8">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9">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A">
      <w:pPr>
        <w:widowControl w:val="1"/>
        <w:numPr>
          <w:ilvl w:val="4"/>
          <w:numId w:val="4"/>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B">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C">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D">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E">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F">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40">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1">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2">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8"/>
      <w:bookmarkEnd w:id="8"/>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above) of the Order Form Template set out in Framework Schedule 6 (Order Form Template and Call-Off Schedules).</w:t>
      </w:r>
    </w:p>
    <w:p w:rsidR="00000000" w:rsidDel="00000000" w:rsidP="00000000" w:rsidRDefault="00000000" w:rsidRPr="00000000" w14:paraId="00000043">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4">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9"/>
      <w:bookmarkEnd w:id="9"/>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5">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6">
      <w:pPr>
        <w:keepNext w:val="1"/>
        <w:widowControl w:val="1"/>
        <w:pBdr>
          <w:top w:space="0" w:sz="0" w:val="nil"/>
          <w:left w:space="0" w:sz="0" w:val="nil"/>
          <w:bottom w:space="0" w:sz="0" w:val="nil"/>
          <w:right w:space="0" w:sz="0" w:val="nil"/>
          <w:between w:space="0" w:sz="0" w:val="nil"/>
        </w:pBdr>
        <w:tabs>
          <w:tab w:val="left" w:pos="142"/>
        </w:tabs>
        <w:spacing w:after="240" w:before="120" w:lineRule="auto"/>
        <w:ind w:left="360" w:firstLine="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7">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8">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10"/>
      <w:bookmarkEnd w:id="10"/>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9">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A">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B">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C">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D">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E">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11"/>
      <w:bookmarkEnd w:id="11"/>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F">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50">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51">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52">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2"/>
      <w:bookmarkEnd w:id="12"/>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3">
      <w:pPr>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4">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5">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6">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7">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8">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9">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A">
      <w:pPr>
        <w:widowControl w:val="1"/>
        <w:numPr>
          <w:ilvl w:val="3"/>
          <w:numId w:val="4"/>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B">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C">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D">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E">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F">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60">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61">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62">
      <w:pPr>
        <w:widowControl w:val="1"/>
        <w:numPr>
          <w:ilvl w:val="2"/>
          <w:numId w:val="4"/>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64">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5">
      <w:pPr>
        <w:keepNext w:val="1"/>
        <w:widowControl w:val="1"/>
        <w:numPr>
          <w:ilvl w:val="1"/>
          <w:numId w:val="4"/>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3"/>
      <w:bookmarkEnd w:id="13"/>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6">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9">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w:t>
      </w:r>
      <w:r w:rsidDel="00000000" w:rsidR="00000000" w:rsidRPr="00000000">
        <w:rPr>
          <w:rFonts w:ascii="Arial" w:cs="Arial" w:eastAsia="Arial" w:hAnsi="Arial"/>
          <w:sz w:val="24"/>
          <w:szCs w:val="24"/>
          <w:rtl w:val="0"/>
        </w:rPr>
        <w:t xml:space="preserve">is designed to assist Buyers seeking to award a Call-Off Contract on the basis of direct award or through reopening competition under a Further Competition Procedure in accordance with the Call-Off Procedure.</w:t>
      </w:r>
      <w:r w:rsidDel="00000000" w:rsidR="00000000" w:rsidRPr="00000000">
        <w:rPr>
          <w:rtl w:val="0"/>
        </w:rPr>
      </w:r>
    </w:p>
    <w:p w:rsidR="00000000" w:rsidDel="00000000" w:rsidP="00000000" w:rsidRDefault="00000000" w:rsidRPr="00000000" w14:paraId="0000006A">
      <w:pPr>
        <w:widowControl w:val="1"/>
        <w:numPr>
          <w:ilvl w:val="0"/>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color w:val="000000"/>
          <w:sz w:val="24"/>
          <w:szCs w:val="24"/>
          <w:rtl w:val="0"/>
        </w:rPr>
        <w:t xml:space="preserve"> be awarded on the basis of most economically advantageous tender ("MEAT") from the point o</w:t>
      </w:r>
      <w:r w:rsidDel="00000000" w:rsidR="00000000" w:rsidRPr="00000000">
        <w:rPr>
          <w:rFonts w:ascii="Arial" w:cs="Arial" w:eastAsia="Arial" w:hAnsi="Arial"/>
          <w:sz w:val="24"/>
          <w:szCs w:val="24"/>
          <w:rtl w:val="0"/>
        </w:rPr>
        <w:t xml:space="preserve">f view of the Buyer</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shd w:fill="b6d7a8" w:val="clear"/>
          <w:rtl w:val="0"/>
        </w:rPr>
        <w:t xml:space="preserve">  </w:t>
      </w:r>
      <w:r w:rsidDel="00000000" w:rsidR="00000000" w:rsidRPr="00000000">
        <w:rPr>
          <w:rtl w:val="0"/>
        </w:rPr>
      </w:r>
    </w:p>
    <w:p w:rsidR="00000000" w:rsidDel="00000000" w:rsidP="00000000" w:rsidRDefault="00000000" w:rsidRPr="00000000" w14:paraId="0000006B">
      <w:pPr>
        <w:widowControl w:val="1"/>
        <w:numPr>
          <w:ilvl w:val="0"/>
          <w:numId w:val="2"/>
        </w:numPr>
        <w:tabs>
          <w:tab w:val="left" w:pos="3054"/>
        </w:tabs>
        <w:spacing w:after="240" w:lineRule="auto"/>
        <w:ind w:left="1080" w:hanging="360"/>
        <w:rPr>
          <w:rFonts w:ascii="Arial" w:cs="Arial" w:eastAsia="Arial" w:hAnsi="Arial"/>
        </w:rPr>
      </w:pPr>
      <w:r w:rsidDel="00000000" w:rsidR="00000000" w:rsidRPr="00000000">
        <w:rPr>
          <w:rFonts w:ascii="Arial" w:cs="Arial" w:eastAsia="Arial" w:hAnsi="Arial"/>
          <w:sz w:val="24"/>
          <w:szCs w:val="24"/>
          <w:rtl w:val="0"/>
        </w:rPr>
        <w:t xml:space="preserve">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E">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70">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71">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2">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rPr>
          <w:cantSplit w:val="0"/>
          <w:tblHeader w:val="0"/>
        </w:trPr>
        <w:tc>
          <w:tcPr/>
          <w:p w:rsidR="00000000" w:rsidDel="00000000" w:rsidP="00000000" w:rsidRDefault="00000000" w:rsidRPr="00000000" w14:paraId="00000073">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[Price (life cycle costs, cost effectiveness &amp; price; price and running costs)]</w:t>
            </w:r>
          </w:p>
        </w:tc>
        <w:tc>
          <w:tcPr/>
          <w:p w:rsidR="00000000" w:rsidDel="00000000" w:rsidP="00000000" w:rsidRDefault="00000000" w:rsidRPr="00000000" w14:paraId="00000074">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5">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 merit; coverage, network capacity and performance as specified in relevant service levels]</w:t>
            </w:r>
          </w:p>
        </w:tc>
        <w:tc>
          <w:tcPr/>
          <w:p w:rsidR="00000000" w:rsidDel="00000000" w:rsidP="00000000" w:rsidRDefault="00000000" w:rsidRPr="00000000" w14:paraId="00000076">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7">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[Help desk, account management function and assurance of supply of a range of devices and good value accessories]</w:t>
            </w:r>
          </w:p>
        </w:tc>
        <w:tc>
          <w:tcPr/>
          <w:p w:rsidR="00000000" w:rsidDel="00000000" w:rsidP="00000000" w:rsidRDefault="00000000" w:rsidRPr="00000000" w14:paraId="00000078">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9">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[Social</w:t>
            </w:r>
            <w:r w:rsidDel="00000000" w:rsidR="00000000" w:rsidRPr="00000000">
              <w:rPr>
                <w:rFonts w:ascii="Arial" w:cs="Arial" w:eastAsia="Arial" w:hAnsi="Arial"/>
                <w:sz w:val="24"/>
                <w:szCs w:val="24"/>
                <w:highlight w:val="yellow"/>
                <w:rtl w:val="0"/>
              </w:rPr>
              <w:t xml:space="preserve"> Value</w:t>
            </w:r>
            <w:r w:rsidDel="00000000" w:rsidR="00000000" w:rsidRPr="00000000">
              <w:rPr>
                <w:rFonts w:ascii="Arial" w:cs="Arial" w:eastAsia="Arial" w:hAnsi="Arial"/>
                <w:color w:val="000000"/>
                <w:sz w:val="24"/>
                <w:szCs w:val="24"/>
                <w:highlight w:val="yellow"/>
                <w:rtl w:val="0"/>
              </w:rPr>
              <w:t xml:space="preserve">]</w:t>
            </w:r>
          </w:p>
        </w:tc>
        <w:tc>
          <w:tcPr/>
          <w:p w:rsidR="00000000" w:rsidDel="00000000" w:rsidP="00000000" w:rsidRDefault="00000000" w:rsidRPr="00000000" w14:paraId="0000007A">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B">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[Quality (including delivery time, sales service, good value, accessories, service fitness for purpose)]</w:t>
            </w:r>
          </w:p>
        </w:tc>
        <w:tc>
          <w:tcPr/>
          <w:p w:rsidR="00000000" w:rsidDel="00000000" w:rsidP="00000000" w:rsidRDefault="00000000" w:rsidRPr="00000000" w14:paraId="0000007C">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E">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1">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Guidance:</w:t>
            </w:r>
            <w:r w:rsidDel="00000000" w:rsidR="00000000" w:rsidRPr="00000000">
              <w:rPr>
                <w:rFonts w:ascii="Arial" w:cs="Arial" w:eastAsia="Arial" w:hAnsi="Arial"/>
                <w:color w:val="000000"/>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trPr>
          <w:cantSplit w:val="0"/>
          <w:tblHeader w:val="0"/>
        </w:trPr>
        <w:tc>
          <w:tcPr/>
          <w:p w:rsidR="00000000" w:rsidDel="00000000" w:rsidP="00000000" w:rsidRDefault="00000000" w:rsidRPr="00000000" w14:paraId="00000083">
            <w:pPr>
              <w:keepNext w:val="1"/>
              <w:widowControl w:val="1"/>
              <w:pBdr>
                <w:top w:space="0" w:sz="0" w:val="nil"/>
                <w:left w:space="0" w:sz="0" w:val="nil"/>
                <w:bottom w:space="0" w:sz="0" w:val="nil"/>
                <w:right w:space="0" w:sz="0" w:val="nil"/>
                <w:between w:space="0" w:sz="0" w:val="nil"/>
              </w:pBdr>
              <w:spacing w:after="120" w:before="12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[Quality]</w:t>
            </w:r>
          </w:p>
          <w:p w:rsidR="00000000" w:rsidDel="00000000" w:rsidP="00000000" w:rsidRDefault="00000000" w:rsidRPr="00000000" w14:paraId="00000084">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[Which consists of the following criteria:</w:t>
            </w:r>
          </w:p>
          <w:p w:rsidR="00000000" w:rsidDel="00000000" w:rsidP="00000000" w:rsidRDefault="00000000" w:rsidRPr="00000000" w14:paraId="00000085">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[Added Value / Innovation]</w:t>
            </w:r>
          </w:p>
          <w:p w:rsidR="00000000" w:rsidDel="00000000" w:rsidP="00000000" w:rsidRDefault="00000000" w:rsidRPr="00000000" w14:paraId="00000086">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[Social Value]</w:t>
            </w:r>
          </w:p>
          <w:p w:rsidR="00000000" w:rsidDel="00000000" w:rsidP="00000000" w:rsidRDefault="00000000" w:rsidRPr="00000000" w14:paraId="00000087">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[Approach To Delivery Of The Services]</w:t>
            </w:r>
          </w:p>
          <w:p w:rsidR="00000000" w:rsidDel="00000000" w:rsidP="00000000" w:rsidRDefault="00000000" w:rsidRPr="00000000" w14:paraId="00000088">
            <w:pPr>
              <w:keepNext w:val="1"/>
              <w:widowControl w:val="1"/>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[Implementation]</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[Use Of Supply Chain / Partners]</w:t>
            </w:r>
            <w:r w:rsidDel="00000000" w:rsidR="00000000" w:rsidRPr="00000000">
              <w:rPr>
                <w:rtl w:val="0"/>
              </w:rPr>
            </w:r>
          </w:p>
        </w:tc>
        <w:tc>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[Cost effectiveness]</w:t>
            </w:r>
            <w:r w:rsidDel="00000000" w:rsidR="00000000" w:rsidRPr="00000000">
              <w:rPr>
                <w:rtl w:val="0"/>
              </w:rPr>
            </w:r>
          </w:p>
        </w:tc>
        <w:tc>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[Technical merit]</w:t>
            </w:r>
            <w:r w:rsidDel="00000000" w:rsidR="00000000" w:rsidRPr="00000000">
              <w:rPr>
                <w:rtl w:val="0"/>
              </w:rPr>
            </w:r>
          </w:p>
        </w:tc>
        <w:tc>
          <w:tcPr/>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[Technical assistance]</w:t>
            </w:r>
            <w:r w:rsidDel="00000000" w:rsidR="00000000" w:rsidRPr="00000000">
              <w:rPr>
                <w:rtl w:val="0"/>
              </w:rPr>
            </w:r>
          </w:p>
        </w:tc>
        <w:tc>
          <w:tcPr/>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[After sales service]</w:t>
            </w:r>
            <w:r w:rsidDel="00000000" w:rsidR="00000000" w:rsidRPr="00000000">
              <w:rPr>
                <w:rtl w:val="0"/>
              </w:rPr>
            </w:r>
          </w:p>
        </w:tc>
        <w:tc>
          <w:tcPr/>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[Price]</w:t>
            </w:r>
            <w:r w:rsidDel="00000000" w:rsidR="00000000" w:rsidRPr="00000000">
              <w:rPr>
                <w:rtl w:val="0"/>
              </w:rPr>
            </w:r>
          </w:p>
        </w:tc>
        <w:tc>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[Aesthetic and functional characteristics]</w:t>
            </w:r>
            <w:r w:rsidDel="00000000" w:rsidR="00000000" w:rsidRPr="00000000">
              <w:rPr>
                <w:rtl w:val="0"/>
              </w:rPr>
            </w:r>
          </w:p>
        </w:tc>
        <w:tc>
          <w:tcPr/>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[Running costs]</w:t>
            </w:r>
          </w:p>
        </w:tc>
        <w:tc>
          <w:tcPr/>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[Environmental characteristics]</w:t>
            </w:r>
          </w:p>
        </w:tc>
        <w:tc>
          <w:tcPr/>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[Delivery date and delivery period]</w:t>
            </w:r>
          </w:p>
        </w:tc>
        <w:tc>
          <w:tcPr/>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[Period of completion]</w:t>
            </w:r>
          </w:p>
        </w:tc>
        <w:tc>
          <w:tcPr/>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r>
      <w:tr>
        <w:trPr>
          <w:cantSplit w:val="0"/>
          <w:tblHeader w:val="0"/>
        </w:trPr>
        <w:tc>
          <w:tcPr/>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[Transition]</w:t>
            </w:r>
            <w:r w:rsidDel="00000000" w:rsidR="00000000" w:rsidRPr="00000000">
              <w:rPr>
                <w:rtl w:val="0"/>
              </w:rPr>
            </w:r>
          </w:p>
        </w:tc>
        <w:tc>
          <w:tcPr/>
          <w:p w:rsidR="00000000" w:rsidDel="00000000" w:rsidP="00000000" w:rsidRDefault="00000000" w:rsidRPr="00000000" w14:paraId="000000A0">
            <w:pPr>
              <w:widowControl w:val="1"/>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[Service / Approach to delivery of Service]</w:t>
            </w:r>
            <w:r w:rsidDel="00000000" w:rsidR="00000000" w:rsidRPr="00000000">
              <w:rPr>
                <w:rtl w:val="0"/>
              </w:rPr>
            </w:r>
          </w:p>
        </w:tc>
        <w:tc>
          <w:tcPr/>
          <w:p w:rsidR="00000000" w:rsidDel="00000000" w:rsidP="00000000" w:rsidRDefault="00000000" w:rsidRPr="00000000" w14:paraId="000000A2">
            <w:pPr>
              <w:widowControl w:val="1"/>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[Legal / Commercial]</w:t>
            </w:r>
            <w:r w:rsidDel="00000000" w:rsidR="00000000" w:rsidRPr="00000000">
              <w:rPr>
                <w:rtl w:val="0"/>
              </w:rPr>
            </w:r>
          </w:p>
        </w:tc>
        <w:tc>
          <w:tcPr/>
          <w:p w:rsidR="00000000" w:rsidDel="00000000" w:rsidP="00000000" w:rsidRDefault="00000000" w:rsidRPr="00000000" w14:paraId="000000A4">
            <w:pPr>
              <w:widowControl w:val="1"/>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[Added value / Innovation]</w:t>
            </w:r>
            <w:r w:rsidDel="00000000" w:rsidR="00000000" w:rsidRPr="00000000">
              <w:rPr>
                <w:rtl w:val="0"/>
              </w:rPr>
            </w:r>
          </w:p>
        </w:tc>
        <w:tc>
          <w:tcPr/>
          <w:p w:rsidR="00000000" w:rsidDel="00000000" w:rsidP="00000000" w:rsidRDefault="00000000" w:rsidRPr="00000000" w14:paraId="000000A6">
            <w:pPr>
              <w:widowControl w:val="1"/>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[Risk and risk management]</w:t>
            </w:r>
            <w:r w:rsidDel="00000000" w:rsidR="00000000" w:rsidRPr="00000000">
              <w:rPr>
                <w:rtl w:val="0"/>
              </w:rPr>
            </w:r>
          </w:p>
        </w:tc>
        <w:tc>
          <w:tcPr/>
          <w:p w:rsidR="00000000" w:rsidDel="00000000" w:rsidP="00000000" w:rsidRDefault="00000000" w:rsidRPr="00000000" w14:paraId="000000A8">
            <w:pPr>
              <w:widowControl w:val="1"/>
              <w:tabs>
                <w:tab w:val="left" w:pos="851"/>
              </w:tabs>
              <w:spacing w:after="240" w:lineRule="auto"/>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A">
      <w:pPr>
        <w:widowControl w:val="1"/>
        <w:spacing w:after="16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w:t>
      </w:r>
    </w:p>
    <w:p w:rsidR="00000000" w:rsidDel="00000000" w:rsidP="00000000" w:rsidRDefault="00000000" w:rsidRPr="00000000" w14:paraId="000000AB">
      <w:pPr>
        <w:widowControl w:val="1"/>
        <w:spacing w:after="160" w:line="259" w:lineRule="auto"/>
        <w:rPr>
          <w:rFonts w:ascii="Arial" w:cs="Arial" w:eastAsia="Arial" w:hAnsi="Arial"/>
          <w:sz w:val="24"/>
          <w:szCs w:val="24"/>
        </w:rPr>
      </w:pPr>
      <w:hyperlink r:id="rId7">
        <w:r w:rsidDel="00000000" w:rsidR="00000000" w:rsidRPr="00000000">
          <w:rPr>
            <w:rFonts w:ascii="Arial" w:cs="Arial" w:eastAsia="Arial" w:hAnsi="Arial"/>
            <w:color w:val="0563c1"/>
            <w:sz w:val="24"/>
            <w:szCs w:val="24"/>
            <w:u w:val="single"/>
            <w:rtl w:val="0"/>
          </w:rPr>
          <w:t xml:space="preserve">Procurement Policy Note 6/20</w:t>
        </w:r>
      </w:hyperlink>
      <w:r w:rsidDel="00000000" w:rsidR="00000000" w:rsidRPr="00000000">
        <w:rPr>
          <w:rFonts w:ascii="Arial" w:cs="Arial" w:eastAsia="Arial" w:hAnsi="Arial"/>
          <w:sz w:val="24"/>
          <w:szCs w:val="24"/>
          <w:rtl w:val="0"/>
        </w:rPr>
        <w:t xml:space="preserve"> launched a new model to deliver social value through the government's commercial activities. Central government organisations must use this model to take account of the additional social benefits that can be achieved in the delivery of their contracts, using policy outcomes aligned with the government's priorities.</w:t>
      </w:r>
    </w:p>
    <w:p w:rsidR="00000000" w:rsidDel="00000000" w:rsidP="00000000" w:rsidRDefault="00000000" w:rsidRPr="00000000" w14:paraId="000000AC">
      <w:pPr>
        <w:widowControl w:val="1"/>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When carrying out a Further Competition Procedure under the Network  Services Framework central government Buyers must therefore comply with the policy set out in PPN 6/20 by ensuring that they evaluate Further Competition tenders against social value requirements aligned with governments </w:t>
      </w:r>
      <w:hyperlink r:id="rId8">
        <w:r w:rsidDel="00000000" w:rsidR="00000000" w:rsidRPr="00000000">
          <w:rPr>
            <w:rFonts w:ascii="Arial" w:cs="Arial" w:eastAsia="Arial" w:hAnsi="Arial"/>
            <w:color w:val="0563c1"/>
            <w:sz w:val="24"/>
            <w:szCs w:val="24"/>
            <w:u w:val="single"/>
            <w:rtl w:val="0"/>
          </w:rPr>
          <w:t xml:space="preserve">Social Value Model</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D">
      <w:pPr>
        <w:widowControl w:val="1"/>
        <w:tabs>
          <w:tab w:val="left" w:pos="851"/>
        </w:tabs>
        <w:spacing w:after="160" w:line="259" w:lineRule="auto"/>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Social value requirements and award criteria should be closely aligned with the model questions, model award criteria and sub-criteria set out in the Social Value Model. Evaluation weighting attributed to social value requirements should not be less than 10% of available marks.</w:t>
      </w:r>
    </w:p>
    <w:p w:rsidR="00000000" w:rsidDel="00000000" w:rsidP="00000000" w:rsidRDefault="00000000" w:rsidRPr="00000000" w14:paraId="000000AE">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B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B8">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9">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BB">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C">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4"/>
    <w:bookmarkEnd w:id="14"/>
    <w:r w:rsidDel="00000000" w:rsidR="00000000" w:rsidRPr="00000000">
      <w:rPr>
        <w:rFonts w:ascii="Arial" w:cs="Arial" w:eastAsia="Arial" w:hAnsi="Arial"/>
        <w:sz w:val="20"/>
        <w:szCs w:val="20"/>
        <w:rtl w:val="0"/>
      </w:rPr>
      <w:t xml:space="preserve">Model Version :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bullet"/>
      <w:lvlText w:val="●"/>
      <w:lvlJc w:val="left"/>
      <w:pPr>
        <w:ind w:left="720" w:hanging="360"/>
      </w:pPr>
      <w:rPr>
        <w:rFonts w:ascii="Noto Sans" w:cs="Noto Sans" w:eastAsia="Noto Sans" w:hAnsi="Noto San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w:cs="Noto Sans" w:eastAsia="Noto Sans" w:hAnsi="Noto Sans"/>
      </w:rPr>
    </w:lvl>
    <w:lvl w:ilvl="3">
      <w:start w:val="1"/>
      <w:numFmt w:val="bullet"/>
      <w:lvlText w:val="●"/>
      <w:lvlJc w:val="left"/>
      <w:pPr>
        <w:ind w:left="2880" w:hanging="360"/>
      </w:pPr>
      <w:rPr>
        <w:rFonts w:ascii="Noto Sans" w:cs="Noto Sans" w:eastAsia="Noto Sans" w:hAnsi="Noto San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w:cs="Noto Sans" w:eastAsia="Noto Sans" w:hAnsi="Noto Sans"/>
      </w:rPr>
    </w:lvl>
    <w:lvl w:ilvl="6">
      <w:start w:val="1"/>
      <w:numFmt w:val="bullet"/>
      <w:lvlText w:val="●"/>
      <w:lvlJc w:val="left"/>
      <w:pPr>
        <w:ind w:left="5040" w:hanging="360"/>
      </w:pPr>
      <w:rPr>
        <w:rFonts w:ascii="Noto Sans" w:cs="Noto Sans" w:eastAsia="Noto Sans" w:hAnsi="Noto San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w:cs="Noto Sans" w:eastAsia="Noto Sans" w:hAnsi="Noto Sans"/>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6"/>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6"/>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6"/>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8" Type="http://schemas.openxmlformats.org/officeDocument/2006/relationships/hyperlink" Target="https://assets.publishing.service.gov.uk/government/uploads/system/uploads/attachment_data/file/940826/Social-Value-Model-Edn-1.1-3-Dec-20.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GEUTtaQBx9+rGv3FIscEAlM1vg==">AMUW2mUlXsV1fjcXe2FcOHZUwnpIjey8Xev06LQOl94fV3GK9uSvTLWKYDpf3I560S2ZdFkg7mAIQ6IdfQoR5JhF/gskhmr9bw0Nqsg/p9Q2pAv+yiHGlV760m2TMLoW40MCGPiuObv2eGwocjVrYSyk9QCKTO8csAA7nCatZ1ZIhVj867CEofqj55uXOKSV1A5TUTvIDnwfg0fY8cp7LpNOKHuppEGjv92KN5t12gVWXmTN1yxxEZJc7h1l63bgmnPgtRF+m1C7osL+4lkEDifeJ8x/PqF9mqUzHx1IxFrnjUnJYTW45GAtbSzGkeBrt8T8z4UnfJRHA/QuJUBipvlmdPvkszaO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2022-11-07T14:02:00Z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